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方正小标宋简体" w:hAnsi="黑体" w:eastAsia="方正小标宋简体"/>
          <w:color w:val="FF0000"/>
          <w:sz w:val="60"/>
          <w:szCs w:val="60"/>
        </w:rPr>
      </w:pPr>
      <w:r>
        <w:rPr>
          <w:rFonts w:hint="eastAsia" w:ascii="方正小标宋简体" w:hAnsi="黑体" w:eastAsia="方正小标宋简体"/>
          <w:color w:val="FF0000"/>
          <w:sz w:val="60"/>
          <w:szCs w:val="60"/>
        </w:rPr>
        <w:drawing>
          <wp:inline distT="0" distB="0" distL="0" distR="0">
            <wp:extent cx="5616575" cy="1711960"/>
            <wp:effectExtent l="0" t="0" r="3175"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5616575" cy="1711960"/>
                    </a:xfrm>
                    <a:prstGeom prst="rect">
                      <a:avLst/>
                    </a:prstGeom>
                  </pic:spPr>
                </pic:pic>
              </a:graphicData>
            </a:graphic>
          </wp:inline>
        </w:drawing>
      </w:r>
    </w:p>
    <w:p>
      <w:pPr>
        <w:jc w:val="center"/>
        <w:rPr>
          <w:rFonts w:ascii="仿宋_GB2312" w:hAnsi="黑体"/>
          <w:szCs w:val="32"/>
        </w:rPr>
      </w:pPr>
      <w:r>
        <w:rPr>
          <w:rFonts w:hint="eastAsia" w:ascii="仿宋_GB2312" w:hAnsi="黑体"/>
          <w:szCs w:val="32"/>
        </w:rPr>
        <w:t>第</w:t>
      </w:r>
      <w:r>
        <w:rPr>
          <w:rFonts w:hint="eastAsia" w:ascii="仿宋_GB2312" w:hAnsi="黑体"/>
          <w:szCs w:val="32"/>
          <w:lang w:val="en-US" w:eastAsia="zh-CN"/>
        </w:rPr>
        <w:t>10</w:t>
      </w:r>
      <w:r>
        <w:rPr>
          <w:rFonts w:hint="eastAsia" w:ascii="仿宋_GB2312" w:hAnsi="黑体"/>
          <w:szCs w:val="32"/>
        </w:rPr>
        <w:t>期</w:t>
      </w:r>
    </w:p>
    <w:p>
      <w:pPr>
        <w:pBdr>
          <w:bottom w:val="single" w:color="FF0000" w:sz="18" w:space="0"/>
        </w:pBdr>
        <w:jc w:val="left"/>
        <w:rPr>
          <w:rFonts w:ascii="仿宋_GB2312" w:hAnsi="黑体"/>
          <w:szCs w:val="32"/>
        </w:rPr>
      </w:pPr>
      <w:r>
        <w:rPr>
          <w:rFonts w:hint="eastAsia" w:ascii="仿宋_GB2312" w:hAnsi="黑体"/>
          <w:szCs w:val="32"/>
        </w:rPr>
        <w:t>泸县</w:t>
      </w:r>
      <w:r>
        <w:rPr>
          <w:rFonts w:hint="eastAsia" w:ascii="宋体" w:hAnsi="宋体" w:eastAsia="宋体" w:cs="宋体"/>
          <w:szCs w:val="32"/>
        </w:rPr>
        <w:t>谢海燕</w:t>
      </w:r>
      <w:r>
        <w:rPr>
          <w:rFonts w:hint="eastAsia" w:ascii="仿宋_GB2312" w:hAnsi="黑体"/>
          <w:szCs w:val="32"/>
        </w:rPr>
        <w:t>名</w:t>
      </w:r>
      <w:r>
        <w:rPr>
          <w:rFonts w:hint="eastAsia" w:ascii="宋体" w:hAnsi="宋体" w:eastAsia="宋体" w:cs="宋体"/>
          <w:szCs w:val="32"/>
        </w:rPr>
        <w:t>师</w:t>
      </w:r>
      <w:r>
        <w:rPr>
          <w:rFonts w:hint="eastAsia" w:ascii="仿宋_GB2312" w:hAnsi="黑体"/>
          <w:szCs w:val="32"/>
        </w:rPr>
        <w:t xml:space="preserve">工作室        </w:t>
      </w:r>
      <w:r>
        <w:rPr>
          <w:rFonts w:ascii="仿宋_GB2312" w:hAnsi="黑体"/>
          <w:szCs w:val="32"/>
        </w:rPr>
        <w:t xml:space="preserve">  </w:t>
      </w:r>
      <w:r>
        <w:rPr>
          <w:rFonts w:hint="eastAsia" w:ascii="仿宋_GB2312" w:hAnsi="黑体"/>
          <w:szCs w:val="32"/>
        </w:rPr>
        <w:t>　　　202</w:t>
      </w:r>
      <w:r>
        <w:rPr>
          <w:rFonts w:hint="eastAsia" w:ascii="仿宋_GB2312" w:hAnsi="黑体"/>
          <w:szCs w:val="32"/>
          <w:lang w:val="en-US" w:eastAsia="zh-CN"/>
        </w:rPr>
        <w:t>3</w:t>
      </w:r>
      <w:r>
        <w:rPr>
          <w:rFonts w:hint="eastAsia" w:ascii="仿宋_GB2312" w:hAnsi="黑体"/>
          <w:szCs w:val="32"/>
        </w:rPr>
        <w:t xml:space="preserve">年 </w:t>
      </w:r>
      <w:r>
        <w:rPr>
          <w:rFonts w:hint="eastAsia" w:ascii="仿宋_GB2312" w:hAnsi="黑体"/>
          <w:szCs w:val="32"/>
          <w:lang w:val="en-US" w:eastAsia="zh-CN"/>
        </w:rPr>
        <w:t>6</w:t>
      </w:r>
      <w:r>
        <w:rPr>
          <w:rFonts w:hint="eastAsia" w:ascii="仿宋_GB2312" w:hAnsi="黑体"/>
          <w:szCs w:val="32"/>
        </w:rPr>
        <w:t xml:space="preserve">月 </w:t>
      </w:r>
      <w:r>
        <w:rPr>
          <w:rFonts w:hint="eastAsia" w:ascii="仿宋_GB2312" w:hAnsi="黑体"/>
          <w:szCs w:val="32"/>
          <w:lang w:val="en-US" w:eastAsia="zh-CN"/>
        </w:rPr>
        <w:t>19</w:t>
      </w:r>
      <w:r>
        <w:rPr>
          <w:rFonts w:hint="eastAsia" w:ascii="仿宋_GB2312" w:hAnsi="黑体"/>
          <w:szCs w:val="32"/>
        </w:rPr>
        <w:t>日</w:t>
      </w:r>
    </w:p>
    <w:p>
      <w:pPr>
        <w:pStyle w:val="15"/>
        <w:keepNext w:val="0"/>
        <w:keepLines w:val="0"/>
        <w:pageBreakBefore w:val="0"/>
        <w:widowControl w:val="0"/>
        <w:kinsoku/>
        <w:wordWrap/>
        <w:overflowPunct/>
        <w:topLinePunct w:val="0"/>
        <w:autoSpaceDE/>
        <w:autoSpaceDN/>
        <w:bidi w:val="0"/>
        <w:adjustRightInd/>
        <w:snapToGrid/>
        <w:spacing w:before="289" w:beforeLines="50" w:line="240" w:lineRule="auto"/>
        <w:textAlignment w:val="auto"/>
        <w:rPr>
          <w:rFonts w:hint="eastAsia" w:ascii="华文中宋" w:hAnsi="华文中宋" w:eastAsia="华文中宋" w:cs="华文中宋"/>
          <w:b/>
          <w:bCs/>
        </w:rPr>
      </w:pPr>
      <w:r>
        <w:rPr>
          <w:rFonts w:hint="eastAsia" w:ascii="华文中宋" w:hAnsi="华文中宋" w:eastAsia="华文中宋" w:cs="华文中宋"/>
          <w:b/>
          <w:bCs/>
        </w:rPr>
        <w:t>泸县谢海燕名师工作室第</w:t>
      </w:r>
      <w:r>
        <w:rPr>
          <w:rFonts w:hint="eastAsia" w:ascii="华文中宋" w:hAnsi="华文中宋" w:eastAsia="华文中宋" w:cs="华文中宋"/>
          <w:b/>
          <w:bCs/>
          <w:lang w:val="en-US" w:eastAsia="zh-CN"/>
        </w:rPr>
        <w:t>十</w:t>
      </w:r>
      <w:r>
        <w:rPr>
          <w:rFonts w:hint="eastAsia" w:ascii="华文中宋" w:hAnsi="华文中宋" w:eastAsia="华文中宋" w:cs="华文中宋"/>
          <w:b/>
          <w:bCs/>
        </w:rPr>
        <w:t>次集中培训活动</w:t>
      </w:r>
    </w:p>
    <w:p>
      <w:pPr>
        <w:pStyle w:val="15"/>
        <w:keepNext w:val="0"/>
        <w:keepLines w:val="0"/>
        <w:pageBreakBefore w:val="0"/>
        <w:widowControl w:val="0"/>
        <w:kinsoku/>
        <w:wordWrap/>
        <w:overflowPunct/>
        <w:topLinePunct w:val="0"/>
        <w:autoSpaceDE/>
        <w:autoSpaceDN/>
        <w:bidi w:val="0"/>
        <w:adjustRightInd/>
        <w:snapToGrid/>
        <w:spacing w:before="289" w:beforeLines="50" w:line="240" w:lineRule="auto"/>
        <w:textAlignment w:val="auto"/>
        <w:rPr>
          <w:rFonts w:hint="eastAsia" w:ascii="华文中宋" w:hAnsi="华文中宋" w:eastAsia="华文中宋" w:cs="华文中宋"/>
          <w:b/>
          <w:bCs/>
          <w:lang w:eastAsia="zh-CN"/>
        </w:rPr>
      </w:pPr>
      <w:r>
        <w:rPr>
          <w:rFonts w:hint="eastAsia" w:ascii="华文中宋" w:hAnsi="华文中宋" w:eastAsia="华文中宋" w:cs="华文中宋"/>
          <w:b/>
          <w:bCs/>
          <w:lang w:eastAsia="zh-CN"/>
        </w:rPr>
        <w:drawing>
          <wp:inline distT="0" distB="0" distL="114300" distR="114300">
            <wp:extent cx="5896610" cy="2857500"/>
            <wp:effectExtent l="0" t="0" r="8890" b="0"/>
            <wp:docPr id="1" name="图片 1" descr="Cache_43db419db3f4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ache_43db419db3f49067"/>
                    <pic:cNvPicPr>
                      <a:picLocks noChangeAspect="1"/>
                    </pic:cNvPicPr>
                  </pic:nvPicPr>
                  <pic:blipFill>
                    <a:blip r:embed="rId9"/>
                    <a:stretch>
                      <a:fillRect/>
                    </a:stretch>
                  </pic:blipFill>
                  <pic:spPr>
                    <a:xfrm>
                      <a:off x="0" y="0"/>
                      <a:ext cx="5896610" cy="2857500"/>
                    </a:xfrm>
                    <a:prstGeom prst="rect">
                      <a:avLst/>
                    </a:prstGeom>
                  </pic:spPr>
                </pic:pic>
              </a:graphicData>
            </a:graphic>
          </wp:inline>
        </w:drawing>
      </w:r>
    </w:p>
    <w:p>
      <w:pPr>
        <w:keepNext w:val="0"/>
        <w:keepLines w:val="0"/>
        <w:pageBreakBefore w:val="0"/>
        <w:widowControl w:val="0"/>
        <w:tabs>
          <w:tab w:val="left" w:pos="3420"/>
        </w:tabs>
        <w:kinsoku/>
        <w:wordWrap/>
        <w:overflowPunct/>
        <w:topLinePunct w:val="0"/>
        <w:autoSpaceDE/>
        <w:autoSpaceDN/>
        <w:bidi w:val="0"/>
        <w:adjustRightInd/>
        <w:snapToGrid/>
        <w:spacing w:line="240" w:lineRule="auto"/>
        <w:ind w:firstLine="592" w:firstLineChars="200"/>
        <w:jc w:val="left"/>
        <w:textAlignment w:val="auto"/>
        <w:rPr>
          <w:rFonts w:hint="default"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2023年6月19日上午，泸县谢海燕名师工作室第十次集中培训活动在泸县二中城西学校行政办公楼二楼会议室举行，本次集中研修活动由工作室成员自选主题做专题讲座，交流教学中的困惑，道德与法治发展现状、中考发展趋势及新教育教学方法。在谢老师的带领下，各位老师倾情讲授，工作室成员相互学习探讨，集思广益，碰撞出思维火花，更新了教育教学理念。</w:t>
      </w:r>
    </w:p>
    <w:p>
      <w:pPr>
        <w:keepNext w:val="0"/>
        <w:keepLines w:val="0"/>
        <w:pageBreakBefore w:val="0"/>
        <w:widowControl w:val="0"/>
        <w:kinsoku/>
        <w:wordWrap/>
        <w:overflowPunct/>
        <w:topLinePunct w:val="0"/>
        <w:autoSpaceDE/>
        <w:autoSpaceDN/>
        <w:bidi w:val="0"/>
        <w:adjustRightInd/>
        <w:snapToGrid/>
        <w:spacing w:line="240" w:lineRule="auto"/>
        <w:ind w:left="592" w:leftChars="0" w:hanging="592" w:hangingChars="200"/>
        <w:jc w:val="left"/>
        <w:textAlignment w:val="auto"/>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drawing>
          <wp:anchor distT="0" distB="0" distL="114300" distR="114300" simplePos="0" relativeHeight="251659264" behindDoc="0" locked="0" layoutInCell="1" allowOverlap="1">
            <wp:simplePos x="0" y="0"/>
            <wp:positionH relativeFrom="column">
              <wp:posOffset>3233420</wp:posOffset>
            </wp:positionH>
            <wp:positionV relativeFrom="paragraph">
              <wp:posOffset>47625</wp:posOffset>
            </wp:positionV>
            <wp:extent cx="2755265" cy="2494280"/>
            <wp:effectExtent l="0" t="0" r="3175" b="5080"/>
            <wp:wrapSquare wrapText="bothSides"/>
            <wp:docPr id="2" name="图片 2" descr="IMG_20230619_11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30619_112433.jpg"/>
                    <pic:cNvPicPr>
                      <a:picLocks noChangeAspect="1"/>
                    </pic:cNvPicPr>
                  </pic:nvPicPr>
                  <pic:blipFill>
                    <a:blip r:embed="rId10"/>
                    <a:stretch>
                      <a:fillRect/>
                    </a:stretch>
                  </pic:blipFill>
                  <pic:spPr>
                    <a:xfrm>
                      <a:off x="0" y="0"/>
                      <a:ext cx="2755265" cy="2494280"/>
                    </a:xfrm>
                    <a:prstGeom prst="rect">
                      <a:avLst/>
                    </a:prstGeom>
                  </pic:spPr>
                </pic:pic>
              </a:graphicData>
            </a:graphic>
          </wp:anchor>
        </w:drawing>
      </w:r>
      <w:r>
        <w:rPr>
          <w:rFonts w:hint="eastAsia" w:ascii="仿宋" w:hAnsi="仿宋" w:eastAsia="仿宋" w:cs="宋体"/>
          <w:b w:val="0"/>
          <w:bCs w:val="0"/>
          <w:kern w:val="2"/>
          <w:sz w:val="30"/>
          <w:szCs w:val="30"/>
          <w:lang w:val="en-US" w:eastAsia="zh-CN" w:bidi="ar-SA"/>
        </w:rPr>
        <w:t xml:space="preserve">   </w:t>
      </w:r>
      <w:r>
        <w:rPr>
          <w:rFonts w:hint="eastAsia" w:ascii="仿宋" w:hAnsi="仿宋" w:eastAsia="仿宋" w:cs="宋体"/>
          <w:b w:val="0"/>
          <w:bCs w:val="0"/>
          <w:kern w:val="2"/>
          <w:sz w:val="30"/>
          <w:szCs w:val="30"/>
          <w:lang w:val="en-US" w:eastAsia="zh-CN" w:bidi="ar-SA"/>
        </w:rPr>
        <w:drawing>
          <wp:inline distT="0" distB="0" distL="114300" distR="114300">
            <wp:extent cx="2688590" cy="2477135"/>
            <wp:effectExtent l="0" t="0" r="8890" b="6985"/>
            <wp:docPr id="4" name="图片 4" descr="Z9%K{5[B@(2(L70FN4`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Z9%K{5[B@(2(L70FN4`R{SM"/>
                    <pic:cNvPicPr>
                      <a:picLocks noChangeAspect="1"/>
                    </pic:cNvPicPr>
                  </pic:nvPicPr>
                  <pic:blipFill>
                    <a:blip r:embed="rId11"/>
                    <a:stretch>
                      <a:fillRect/>
                    </a:stretch>
                  </pic:blipFill>
                  <pic:spPr>
                    <a:xfrm>
                      <a:off x="0" y="0"/>
                      <a:ext cx="2688590" cy="24771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92" w:firstLineChars="200"/>
        <w:jc w:val="left"/>
        <w:textAlignment w:val="auto"/>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活动中，来自太伏中学的陈明海老师作《初中德法课堂教学活动之细节决定成败策略初探》的专题报告，陈老师在指导新教师的过程中得到启发迪，重申教师基本功的重要性。经验丰富的教师虽然一直战斗在一线讲堂，但仍然不要忽略课堂细节，细节决定成败。一堂好课，需要优化教学活动时间;优选教学活动材料，优化议题设置；升华语言艺术，善用肢体语言；把握课堂节奏，提升教学基本功。</w:t>
      </w:r>
      <w:r>
        <w:rPr>
          <w:rFonts w:hint="eastAsia" w:ascii="仿宋" w:hAnsi="仿宋" w:eastAsia="仿宋" w:cs="宋体"/>
          <w:b w:val="0"/>
          <w:bCs w:val="0"/>
          <w:kern w:val="2"/>
          <w:sz w:val="30"/>
          <w:szCs w:val="30"/>
          <w:lang w:val="en-US" w:eastAsia="zh-CN" w:bidi="ar-SA"/>
        </w:rPr>
        <w:drawing>
          <wp:inline distT="0" distB="0" distL="114300" distR="114300">
            <wp:extent cx="6096000" cy="2202815"/>
            <wp:effectExtent l="0" t="0" r="0" b="6985"/>
            <wp:docPr id="9" name="图片 9" descr="IMG_20230619_10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30619_105948.jpg"/>
                    <pic:cNvPicPr>
                      <a:picLocks noChangeAspect="1"/>
                    </pic:cNvPicPr>
                  </pic:nvPicPr>
                  <pic:blipFill>
                    <a:blip r:embed="rId12"/>
                    <a:stretch>
                      <a:fillRect/>
                    </a:stretch>
                  </pic:blipFill>
                  <pic:spPr>
                    <a:xfrm>
                      <a:off x="0" y="0"/>
                      <a:ext cx="6096000" cy="220281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line="240" w:lineRule="auto"/>
        <w:ind w:firstLine="592" w:firstLineChars="200"/>
        <w:textAlignment w:val="auto"/>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泸县得胜镇得胜初级中学校的叶伟军老师作《中国共产党为什么必须坚持人民至上》的专题报告，明确了党坚持人民至上的世界观和方法论，准确理解和把握“坚持人民至上”，对我们深入领会习近平新时代中国特色社会主义思想的理论品格和鲜明特质、更好运用习近平新时代中国社会主义思想的理论品格和鲜明特质、更好运用习近平新时代中国特色社会主义思想，指引新时代伟大实践、不断开辟马克思主义中国化、时代化新境界具有重要意义。</w:t>
      </w:r>
    </w:p>
    <w:p>
      <w:pPr>
        <w:pStyle w:val="2"/>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仿宋" w:hAnsi="仿宋" w:eastAsia="仿宋" w:cs="宋体"/>
          <w:b w:val="0"/>
          <w:bCs w:val="0"/>
          <w:kern w:val="2"/>
          <w:sz w:val="30"/>
          <w:szCs w:val="30"/>
          <w:lang w:val="en-US" w:eastAsia="zh-CN" w:bidi="ar-SA"/>
        </w:rPr>
      </w:pPr>
      <w:r>
        <w:rPr>
          <w:rFonts w:hint="default" w:ascii="仿宋" w:hAnsi="仿宋" w:eastAsia="仿宋" w:cs="宋体"/>
          <w:b w:val="0"/>
          <w:bCs w:val="0"/>
          <w:kern w:val="2"/>
          <w:sz w:val="30"/>
          <w:szCs w:val="30"/>
          <w:lang w:val="en-US" w:eastAsia="zh-CN" w:bidi="ar-SA"/>
        </w:rPr>
        <w:drawing>
          <wp:inline distT="0" distB="0" distL="114300" distR="114300">
            <wp:extent cx="6112510" cy="3203575"/>
            <wp:effectExtent l="0" t="0" r="2540" b="15875"/>
            <wp:docPr id="10" name="图片 10" descr="Cache_-5db5608c01034f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ache_-5db5608c01034f34"/>
                    <pic:cNvPicPr>
                      <a:picLocks noChangeAspect="1"/>
                    </pic:cNvPicPr>
                  </pic:nvPicPr>
                  <pic:blipFill>
                    <a:blip r:embed="rId13"/>
                    <a:stretch>
                      <a:fillRect/>
                    </a:stretch>
                  </pic:blipFill>
                  <pic:spPr>
                    <a:xfrm>
                      <a:off x="0" y="0"/>
                      <a:ext cx="6112510" cy="32035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left="293" w:leftChars="93" w:firstLine="678" w:firstLineChars="229"/>
        <w:textAlignment w:val="auto"/>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泸县二中城西学校郭德平老师作《新课标背景下议题式教学法在初中德法课中的运用》的专题报告，郭老师在日常教学中推陈出新，与时代接轨，不断创新教学方法。与参会的名师交流了自己在议题式教学探究中遇到的困难和困惑。在郭老师的娓娓道来中，我们对议题式教学方法有了更深的认识，议题式教学要采取热点分析、角色扮演、情境体验、模拟活动等方式，引导学生开展自主探究与合作探究，让学生认识社会。议题式教学包括：主题、议题、题话、问题、活动五要素 。议题式教学需精选教学议题唤醒学习兴趣，创设问题情境活化科学知识，巧设教学活动促进知行合一，明确教学任务达成核心素养。问渠那得清如许，为有源头活水来。新时代教师不应固步自封，也应做时代的弄潮儿，不断开拓创新。</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 xml:space="preserve"> </w:t>
      </w:r>
      <w:r>
        <w:rPr>
          <w:rFonts w:hint="eastAsia" w:ascii="仿宋" w:hAnsi="仿宋" w:eastAsia="仿宋" w:cs="宋体"/>
          <w:b w:val="0"/>
          <w:bCs w:val="0"/>
          <w:kern w:val="2"/>
          <w:sz w:val="30"/>
          <w:szCs w:val="30"/>
          <w:lang w:val="en-US" w:eastAsia="zh-CN" w:bidi="ar-SA"/>
        </w:rPr>
        <w:drawing>
          <wp:inline distT="0" distB="0" distL="114300" distR="114300">
            <wp:extent cx="6096000" cy="2740660"/>
            <wp:effectExtent l="0" t="0" r="0" b="2540"/>
            <wp:docPr id="11" name="图片 11" descr="IMG_20230619_10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30619_100434.jpg"/>
                    <pic:cNvPicPr>
                      <a:picLocks noChangeAspect="1"/>
                    </pic:cNvPicPr>
                  </pic:nvPicPr>
                  <pic:blipFill>
                    <a:blip r:embed="rId14"/>
                    <a:stretch>
                      <a:fillRect/>
                    </a:stretch>
                  </pic:blipFill>
                  <pic:spPr>
                    <a:xfrm>
                      <a:off x="0" y="0"/>
                      <a:ext cx="6096000" cy="2740660"/>
                    </a:xfrm>
                    <a:prstGeom prst="rect">
                      <a:avLst/>
                    </a:prstGeom>
                  </pic:spPr>
                </pic:pic>
              </a:graphicData>
            </a:graphic>
          </wp:inline>
        </w:drawing>
      </w:r>
    </w:p>
    <w:p>
      <w:pPr>
        <w:pStyle w:val="2"/>
        <w:ind w:firstLine="592" w:firstLineChars="200"/>
        <w:rPr>
          <w:rFonts w:hint="default"/>
          <w:lang w:val="en-US" w:eastAsia="zh-CN"/>
        </w:rPr>
      </w:pPr>
      <w:r>
        <w:rPr>
          <w:rFonts w:hint="eastAsia" w:ascii="仿宋" w:hAnsi="仿宋" w:eastAsia="仿宋" w:cs="宋体"/>
          <w:b w:val="0"/>
          <w:bCs w:val="0"/>
          <w:kern w:val="2"/>
          <w:sz w:val="30"/>
          <w:szCs w:val="30"/>
          <w:lang w:val="en-US" w:eastAsia="zh-CN" w:bidi="ar-SA"/>
        </w:rPr>
        <w:t>泸二外杨权老师对泸州市初中道德与法治中考试题进行了解析，分析试题特点，把握出题规律，归纳答题技巧，将热腾腾的中考试题呈现给各位老师。年年岁岁议中考，岁岁年年话不同。杨权老师深入浅出，把握中考规律，有助于指导教学。在中高考指挥棒未改之前，中考也是热点话题。</w:t>
      </w:r>
      <w:r>
        <w:rPr>
          <w:rFonts w:hint="default"/>
          <w:lang w:val="en-US" w:eastAsia="zh-CN"/>
        </w:rPr>
        <w:drawing>
          <wp:inline distT="0" distB="0" distL="114300" distR="114300">
            <wp:extent cx="6191885" cy="2470150"/>
            <wp:effectExtent l="0" t="0" r="10795" b="13970"/>
            <wp:docPr id="13" name="图片 13" descr="IMG_20230619_09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30619_093010.jpg"/>
                    <pic:cNvPicPr>
                      <a:picLocks noChangeAspect="1"/>
                    </pic:cNvPicPr>
                  </pic:nvPicPr>
                  <pic:blipFill>
                    <a:blip r:embed="rId15"/>
                    <a:stretch>
                      <a:fillRect/>
                    </a:stretch>
                  </pic:blipFill>
                  <pic:spPr>
                    <a:xfrm>
                      <a:off x="0" y="0"/>
                      <a:ext cx="6191885" cy="2470150"/>
                    </a:xfrm>
                    <a:prstGeom prst="rect">
                      <a:avLst/>
                    </a:prstGeom>
                  </pic:spPr>
                </pic:pic>
              </a:graphicData>
            </a:graphic>
          </wp:inline>
        </w:drawing>
      </w:r>
    </w:p>
    <w:p>
      <w:pPr>
        <w:pStyle w:val="2"/>
        <w:ind w:firstLine="592" w:firstLineChars="200"/>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泸县城北初级中学校胡娟老师作《道德与法治课堂渗透意识形态初探》的专题报告。通过胡老师的讲解，我们了解了什么是意识形态，我国意识形态的主要任务，道法课堂渗透意识形态教育的必要性，东西方意识形态斗争的由来及演变，我国意识形态面临的挑战，道德课堂渗透意识形态教育的有效措施等。意识形态教育是从思想上引导人、影响人的工作，关系国家和民族前途命运。道德与法治课作为落实立德树人根本任务的关键课程，必须科学的开展课堂教学，加强意识形态工作，掌握主动权、打主动仗。教学中，我们需要结合意识形态培育学生的核心素养，关注学生“五育并举”，弘扬正能量，引导学生把党、祖国、人民装在心中，努力让其深层次的形成正确的价值观念，强化做社会主义建设者和接班人的思想意识。</w:t>
      </w:r>
    </w:p>
    <w:p>
      <w:pPr>
        <w:pStyle w:val="2"/>
        <w:rPr>
          <w:rFonts w:hint="eastAsia"/>
          <w:lang w:val="en-US" w:eastAsia="zh-CN"/>
        </w:rPr>
      </w:pPr>
      <w:r>
        <w:rPr>
          <w:rFonts w:hint="eastAsia"/>
          <w:lang w:val="en-US" w:eastAsia="zh-CN"/>
        </w:rPr>
        <w:drawing>
          <wp:inline distT="0" distB="0" distL="114300" distR="114300">
            <wp:extent cx="6096000" cy="2841625"/>
            <wp:effectExtent l="0" t="0" r="0" b="15875"/>
            <wp:docPr id="14" name="图片 14" descr="IMG_20230619_09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30619_091318.jpg"/>
                    <pic:cNvPicPr>
                      <a:picLocks noChangeAspect="1"/>
                    </pic:cNvPicPr>
                  </pic:nvPicPr>
                  <pic:blipFill>
                    <a:blip r:embed="rId16"/>
                    <a:stretch>
                      <a:fillRect/>
                    </a:stretch>
                  </pic:blipFill>
                  <pic:spPr>
                    <a:xfrm>
                      <a:off x="0" y="0"/>
                      <a:ext cx="6096000" cy="2841625"/>
                    </a:xfrm>
                    <a:prstGeom prst="rect">
                      <a:avLst/>
                    </a:prstGeom>
                  </pic:spPr>
                </pic:pic>
              </a:graphicData>
            </a:graphic>
          </wp:inline>
        </w:drawing>
      </w:r>
    </w:p>
    <w:p>
      <w:pPr>
        <w:pStyle w:val="2"/>
        <w:ind w:firstLine="592" w:firstLineChars="200"/>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高寨中学张存银老师作《关注时政热点专题：全面推进乡村振兴》专题报告，乡村振兴是建设现代化经济体系的重要基础，是建设美丽中国的关键举措，是传承中华优秀传统文化的有效途径，是健全社会治理格局的固本之策，是实现全体人民共同富裕的必然选择。乡村振兴具有研究的时代意义，现实意义。张老师结合热点和书本知识，分析全面推进乡村振兴的时代需求，与教材的知识链接，命题设问，为我们呈现了一堂优质且实用的专题课。</w:t>
      </w:r>
    </w:p>
    <w:p>
      <w:pPr>
        <w:pStyle w:val="2"/>
        <w:rPr>
          <w:rFonts w:hint="default"/>
          <w:lang w:val="en-US" w:eastAsia="zh-CN"/>
        </w:rPr>
      </w:pPr>
      <w:r>
        <w:rPr>
          <w:rFonts w:hint="default"/>
          <w:lang w:val="en-US" w:eastAsia="zh-CN"/>
        </w:rPr>
        <w:drawing>
          <wp:inline distT="0" distB="0" distL="114300" distR="114300">
            <wp:extent cx="6108065" cy="2534920"/>
            <wp:effectExtent l="0" t="0" r="6985" b="17780"/>
            <wp:docPr id="15" name="图片 15" descr="Cache_6896a1d5f5649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ache_6896a1d5f56495f4"/>
                    <pic:cNvPicPr>
                      <a:picLocks noChangeAspect="1"/>
                    </pic:cNvPicPr>
                  </pic:nvPicPr>
                  <pic:blipFill>
                    <a:blip r:embed="rId17"/>
                    <a:stretch>
                      <a:fillRect/>
                    </a:stretch>
                  </pic:blipFill>
                  <pic:spPr>
                    <a:xfrm>
                      <a:off x="0" y="0"/>
                      <a:ext cx="6108065" cy="253492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line="240" w:lineRule="auto"/>
        <w:ind w:firstLine="592" w:firstLineChars="200"/>
        <w:textAlignment w:val="auto"/>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记忆里四中杨雪红老师是一位善于学习，求真务实的老师。3月24日，在春暖花开的季节，杨老师的一堂《依法履行义务》的议题式示范课，让我记忆犹新，历历在目。所以，对于杨老师关于《初中道法与法治学生时政素养的培养》我满怀期待。杨老师深入浅出，娓娓道来，向我们介绍了时政素养的含义，培养时政素养的必要性，当前初中生时政素养存在的不足，初中道德与法治培养学生时政素养的策略，时政素养培养应注意的事项。新闻播报、电视栏目观看、时政手抄报、时政小论文这些新型作业模式，与双减背景下作业设计不谋而合，即激发学生学习兴趣，落实核心素养，又注重学生能力的培养，这才是真正的素质教育。学生时政素养的养成不是一朝一夕，贵在坚持！相信日积月累，师生都会不断成长！</w:t>
      </w:r>
    </w:p>
    <w:p>
      <w:pPr>
        <w:pStyle w:val="2"/>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仿宋" w:hAnsi="仿宋" w:eastAsia="仿宋" w:cs="宋体"/>
          <w:b w:val="0"/>
          <w:bCs w:val="0"/>
          <w:kern w:val="2"/>
          <w:sz w:val="30"/>
          <w:szCs w:val="30"/>
          <w:lang w:val="en-US" w:eastAsia="zh-CN" w:bidi="ar-SA"/>
        </w:rPr>
      </w:pPr>
      <w:r>
        <w:rPr>
          <w:rFonts w:hint="default" w:ascii="仿宋" w:hAnsi="仿宋" w:eastAsia="仿宋" w:cs="宋体"/>
          <w:b w:val="0"/>
          <w:bCs w:val="0"/>
          <w:kern w:val="2"/>
          <w:sz w:val="30"/>
          <w:szCs w:val="30"/>
          <w:lang w:val="en-US" w:eastAsia="zh-CN" w:bidi="ar-SA"/>
        </w:rPr>
        <w:drawing>
          <wp:inline distT="0" distB="0" distL="114300" distR="114300">
            <wp:extent cx="6096000" cy="2367280"/>
            <wp:effectExtent l="0" t="0" r="0" b="13970"/>
            <wp:docPr id="16" name="图片 16" descr="IMG_20230619_083242.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30619_083242.jpg(1)"/>
                    <pic:cNvPicPr>
                      <a:picLocks noChangeAspect="1"/>
                    </pic:cNvPicPr>
                  </pic:nvPicPr>
                  <pic:blipFill>
                    <a:blip r:embed="rId18"/>
                    <a:stretch>
                      <a:fillRect/>
                    </a:stretch>
                  </pic:blipFill>
                  <pic:spPr>
                    <a:xfrm>
                      <a:off x="0" y="0"/>
                      <a:ext cx="6096000" cy="236728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line="240" w:lineRule="auto"/>
        <w:ind w:firstLine="592" w:firstLineChars="200"/>
        <w:textAlignment w:val="auto"/>
        <w:rPr>
          <w:rFonts w:hint="eastAsia" w:ascii="仿宋" w:hAnsi="仿宋" w:eastAsia="仿宋" w:cs="宋体"/>
          <w:b w:val="0"/>
          <w:bCs w:val="0"/>
          <w:kern w:val="2"/>
          <w:sz w:val="30"/>
          <w:szCs w:val="30"/>
          <w:lang w:val="en-US" w:eastAsia="zh-CN" w:bidi="ar-SA"/>
        </w:rPr>
      </w:pPr>
      <w:bookmarkStart w:id="0" w:name="_GoBack"/>
      <w:bookmarkEnd w:id="0"/>
      <w:r>
        <w:rPr>
          <w:rFonts w:hint="eastAsia" w:ascii="仿宋" w:hAnsi="仿宋" w:eastAsia="仿宋" w:cs="宋体"/>
          <w:b w:val="0"/>
          <w:bCs w:val="0"/>
          <w:kern w:val="2"/>
          <w:sz w:val="30"/>
          <w:szCs w:val="30"/>
          <w:lang w:val="en-US" w:eastAsia="zh-CN" w:bidi="ar-SA"/>
        </w:rPr>
        <w:t>来自太伏中学的王平老师作《核心素养视野下的道德与法治课堂教学策略》的主题报告，王老师认为，核心素养教学应改变教学理念，强化学生的法治思维；拓展教学方式，提高学生的政治素养；创设良好的教学情境，活跃课堂气氛；引导学生进行实践活动，强化学生核心素养；开展课后反思，培养学生核心素养能力；科学设计作业，注重能力的培养。</w:t>
      </w:r>
    </w:p>
    <w:p>
      <w:pPr>
        <w:pStyle w:val="2"/>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仿宋" w:hAnsi="仿宋" w:eastAsia="仿宋" w:cs="宋体"/>
          <w:b w:val="0"/>
          <w:bCs w:val="0"/>
          <w:kern w:val="2"/>
          <w:sz w:val="30"/>
          <w:szCs w:val="30"/>
          <w:lang w:val="en-US" w:eastAsia="zh-CN" w:bidi="ar-SA"/>
        </w:rPr>
      </w:pPr>
      <w:r>
        <w:rPr>
          <w:rFonts w:hint="default" w:ascii="仿宋" w:hAnsi="仿宋" w:eastAsia="仿宋" w:cs="宋体"/>
          <w:b w:val="0"/>
          <w:bCs w:val="0"/>
          <w:kern w:val="2"/>
          <w:sz w:val="30"/>
          <w:szCs w:val="30"/>
          <w:lang w:val="en-US" w:eastAsia="zh-CN" w:bidi="ar-SA"/>
        </w:rPr>
        <w:drawing>
          <wp:inline distT="0" distB="0" distL="114300" distR="114300">
            <wp:extent cx="6108065" cy="2507615"/>
            <wp:effectExtent l="0" t="0" r="6985" b="6985"/>
            <wp:docPr id="17" name="图片 17" descr="Cache_4a2ab661b0b35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ache_4a2ab661b0b354c3"/>
                    <pic:cNvPicPr>
                      <a:picLocks noChangeAspect="1"/>
                    </pic:cNvPicPr>
                  </pic:nvPicPr>
                  <pic:blipFill>
                    <a:blip r:embed="rId19"/>
                    <a:stretch>
                      <a:fillRect/>
                    </a:stretch>
                  </pic:blipFill>
                  <pic:spPr>
                    <a:xfrm>
                      <a:off x="0" y="0"/>
                      <a:ext cx="6108065" cy="2507615"/>
                    </a:xfrm>
                    <a:prstGeom prst="rect">
                      <a:avLst/>
                    </a:prstGeom>
                  </pic:spPr>
                </pic:pic>
              </a:graphicData>
            </a:graphic>
          </wp:inline>
        </w:drawing>
      </w:r>
    </w:p>
    <w:p>
      <w:pPr>
        <w:ind w:firstLine="592" w:firstLineChars="200"/>
        <w:rPr>
          <w:rFonts w:hint="default" w:ascii="仿宋" w:hAnsi="仿宋" w:eastAsia="仿宋" w:cs="宋体"/>
          <w:b w:val="0"/>
          <w:bCs w:val="0"/>
          <w:kern w:val="2"/>
          <w:sz w:val="30"/>
          <w:szCs w:val="30"/>
          <w:lang w:val="en-US" w:eastAsia="zh-CN" w:bidi="ar-SA"/>
        </w:rPr>
      </w:pPr>
      <w:r>
        <w:rPr>
          <w:rFonts w:hint="default" w:ascii="仿宋" w:hAnsi="仿宋" w:eastAsia="仿宋" w:cs="宋体"/>
          <w:b w:val="0"/>
          <w:bCs w:val="0"/>
          <w:kern w:val="2"/>
          <w:sz w:val="30"/>
          <w:szCs w:val="30"/>
          <w:lang w:val="en-US" w:eastAsia="zh-CN" w:bidi="ar-SA"/>
        </w:rPr>
        <w:t>最后，</w:t>
      </w:r>
      <w:r>
        <w:rPr>
          <w:rFonts w:hint="eastAsia" w:ascii="仿宋" w:hAnsi="仿宋" w:eastAsia="仿宋" w:cs="宋体"/>
          <w:b w:val="0"/>
          <w:bCs w:val="0"/>
          <w:kern w:val="2"/>
          <w:sz w:val="30"/>
          <w:szCs w:val="30"/>
          <w:lang w:val="en-US" w:eastAsia="zh-CN" w:bidi="ar-SA"/>
        </w:rPr>
        <w:t>工作室领衔人</w:t>
      </w:r>
      <w:r>
        <w:rPr>
          <w:rFonts w:hint="default" w:ascii="仿宋" w:hAnsi="仿宋" w:eastAsia="仿宋" w:cs="宋体"/>
          <w:b w:val="0"/>
          <w:bCs w:val="0"/>
          <w:kern w:val="2"/>
          <w:sz w:val="30"/>
          <w:szCs w:val="30"/>
          <w:lang w:val="en-US" w:eastAsia="zh-CN" w:bidi="ar-SA"/>
        </w:rPr>
        <w:t>谢海燕作了总结发言。她指出</w:t>
      </w:r>
      <w:r>
        <w:rPr>
          <w:rFonts w:hint="eastAsia" w:ascii="仿宋" w:hAnsi="仿宋" w:eastAsia="仿宋" w:cs="宋体"/>
          <w:b w:val="0"/>
          <w:bCs w:val="0"/>
          <w:kern w:val="2"/>
          <w:sz w:val="30"/>
          <w:szCs w:val="30"/>
          <w:lang w:val="en-US" w:eastAsia="zh-CN" w:bidi="ar-SA"/>
        </w:rPr>
        <w:t>在中高考一体化改革的大背景下，作为</w:t>
      </w:r>
      <w:r>
        <w:rPr>
          <w:rFonts w:hint="default" w:ascii="仿宋" w:hAnsi="仿宋" w:eastAsia="仿宋" w:cs="宋体"/>
          <w:b w:val="0"/>
          <w:bCs w:val="0"/>
          <w:kern w:val="2"/>
          <w:sz w:val="30"/>
          <w:szCs w:val="30"/>
          <w:lang w:val="en-US" w:eastAsia="zh-CN" w:bidi="ar-SA"/>
        </w:rPr>
        <w:t>思政老师要跟上时代发展的步伐，主动求变，积极应变。</w:t>
      </w:r>
      <w:r>
        <w:rPr>
          <w:rFonts w:hint="eastAsia" w:ascii="仿宋" w:hAnsi="仿宋" w:eastAsia="仿宋" w:cs="宋体"/>
          <w:b w:val="0"/>
          <w:bCs w:val="0"/>
          <w:kern w:val="2"/>
          <w:sz w:val="30"/>
          <w:szCs w:val="30"/>
          <w:lang w:val="en-US" w:eastAsia="zh-CN" w:bidi="ar-SA"/>
        </w:rPr>
        <w:t>路漫漫其修远兮，我们将在谢老师的带领下继续前行，遇见更好的自己。</w:t>
      </w:r>
    </w:p>
    <w:tbl>
      <w:tblPr>
        <w:tblStyle w:val="10"/>
        <w:tblpPr w:leftFromText="181" w:rightFromText="181" w:vertAnchor="page" w:horzAnchor="page" w:tblpX="1165" w:tblpY="12168"/>
        <w:tblOverlap w:val="never"/>
        <w:tblW w:w="9820" w:type="dxa"/>
        <w:tblInd w:w="0" w:type="dxa"/>
        <w:tblBorders>
          <w:top w:val="single" w:color="FF0000" w:sz="18" w:space="0"/>
          <w:left w:val="none" w:color="auto" w:sz="0" w:space="0"/>
          <w:bottom w:val="single" w:color="FF0000" w:sz="8" w:space="0"/>
          <w:right w:val="none" w:color="auto" w:sz="0" w:space="0"/>
          <w:insideH w:val="single" w:color="FF0000" w:sz="8" w:space="0"/>
          <w:insideV w:val="single" w:color="auto" w:sz="8" w:space="0"/>
        </w:tblBorders>
        <w:tblLayout w:type="fixed"/>
        <w:tblCellMar>
          <w:top w:w="0" w:type="dxa"/>
          <w:left w:w="108" w:type="dxa"/>
          <w:bottom w:w="0" w:type="dxa"/>
          <w:right w:w="108" w:type="dxa"/>
        </w:tblCellMar>
      </w:tblPr>
      <w:tblGrid>
        <w:gridCol w:w="9820"/>
      </w:tblGrid>
      <w:tr>
        <w:tblPrEx>
          <w:tblBorders>
            <w:top w:val="single" w:color="FF0000" w:sz="18" w:space="0"/>
            <w:left w:val="none" w:color="auto" w:sz="0" w:space="0"/>
            <w:bottom w:val="single" w:color="FF0000" w:sz="8" w:space="0"/>
            <w:right w:val="none" w:color="auto" w:sz="0" w:space="0"/>
            <w:insideH w:val="single" w:color="FF0000" w:sz="8" w:space="0"/>
            <w:insideV w:val="single" w:color="auto" w:sz="8" w:space="0"/>
          </w:tblBorders>
          <w:tblCellMar>
            <w:top w:w="0" w:type="dxa"/>
            <w:left w:w="108" w:type="dxa"/>
            <w:bottom w:w="0" w:type="dxa"/>
            <w:right w:w="108" w:type="dxa"/>
          </w:tblCellMar>
        </w:tblPrEx>
        <w:trPr>
          <w:trHeight w:val="1919" w:hRule="atLeast"/>
        </w:trPr>
        <w:tc>
          <w:tcPr>
            <w:tcW w:w="9820" w:type="dxa"/>
            <w:shd w:val="clear" w:color="auto" w:fill="auto"/>
          </w:tcPr>
          <w:p>
            <w:pPr>
              <w:ind w:firstLine="273"/>
              <w:rPr>
                <w:rFonts w:ascii="仿宋" w:hAnsi="仿宋" w:eastAsia="仿宋"/>
                <w:sz w:val="28"/>
              </w:rPr>
            </w:pPr>
            <w:r>
              <w:rPr>
                <w:rFonts w:hint="eastAsia" w:ascii="仿宋" w:hAnsi="仿宋" w:eastAsia="仿宋"/>
                <w:sz w:val="28"/>
              </w:rPr>
              <w:t>报：泸县教育和体育局、泸县教师进修学校</w:t>
            </w:r>
          </w:p>
          <w:p>
            <w:pPr>
              <w:ind w:firstLine="273"/>
              <w:rPr>
                <w:rFonts w:ascii="仿宋" w:hAnsi="仿宋" w:eastAsia="仿宋"/>
                <w:sz w:val="28"/>
              </w:rPr>
            </w:pPr>
            <w:r>
              <w:rPr>
                <w:rFonts w:hint="eastAsia" w:ascii="仿宋" w:hAnsi="仿宋" w:eastAsia="仿宋"/>
                <w:sz w:val="28"/>
              </w:rPr>
              <w:t>送：各镇（街道）、中小学、幼儿园</w:t>
            </w:r>
          </w:p>
          <w:p>
            <w:pPr>
              <w:ind w:firstLine="273"/>
              <w:rPr>
                <w:rFonts w:ascii="仿宋" w:hAnsi="仿宋" w:eastAsia="仿宋"/>
                <w:sz w:val="28"/>
              </w:rPr>
            </w:pPr>
            <w:r>
              <w:rPr>
                <w:rFonts w:hint="eastAsia" w:ascii="仿宋" w:hAnsi="仿宋" w:eastAsia="仿宋"/>
                <w:sz w:val="28"/>
              </w:rPr>
              <w:t>发：泸县谢海燕名师工作室成员</w:t>
            </w:r>
          </w:p>
        </w:tc>
      </w:tr>
      <w:tr>
        <w:tblPrEx>
          <w:tblBorders>
            <w:top w:val="single" w:color="FF0000" w:sz="18" w:space="0"/>
            <w:left w:val="none" w:color="auto" w:sz="0" w:space="0"/>
            <w:bottom w:val="single" w:color="FF0000" w:sz="8" w:space="0"/>
            <w:right w:val="none" w:color="auto" w:sz="0" w:space="0"/>
            <w:insideH w:val="single" w:color="FF0000" w:sz="8" w:space="0"/>
            <w:insideV w:val="single" w:color="auto" w:sz="8" w:space="0"/>
          </w:tblBorders>
          <w:tblCellMar>
            <w:top w:w="0" w:type="dxa"/>
            <w:left w:w="108" w:type="dxa"/>
            <w:bottom w:w="0" w:type="dxa"/>
            <w:right w:w="108" w:type="dxa"/>
          </w:tblCellMar>
        </w:tblPrEx>
        <w:trPr>
          <w:trHeight w:val="1290" w:hRule="atLeast"/>
        </w:trPr>
        <w:tc>
          <w:tcPr>
            <w:tcW w:w="9820" w:type="dxa"/>
            <w:shd w:val="clear" w:color="auto" w:fill="auto"/>
          </w:tcPr>
          <w:p>
            <w:pPr>
              <w:ind w:firstLine="273"/>
              <w:rPr>
                <w:rFonts w:ascii="仿宋" w:hAnsi="仿宋" w:eastAsia="仿宋"/>
                <w:sz w:val="28"/>
              </w:rPr>
            </w:pPr>
            <w:r>
              <w:rPr>
                <w:rFonts w:hint="eastAsia" w:ascii="仿宋" w:hAnsi="仿宋" w:eastAsia="仿宋"/>
                <w:sz w:val="28"/>
              </w:rPr>
              <w:t>撰稿、编辑：</w:t>
            </w:r>
            <w:r>
              <w:rPr>
                <w:rFonts w:hint="eastAsia" w:ascii="仿宋" w:hAnsi="仿宋" w:eastAsia="仿宋"/>
                <w:sz w:val="28"/>
                <w:lang w:val="en-US" w:eastAsia="zh-CN"/>
              </w:rPr>
              <w:t>刘良珍</w:t>
            </w:r>
            <w:r>
              <w:rPr>
                <w:rFonts w:ascii="仿宋" w:hAnsi="仿宋" w:eastAsia="仿宋"/>
                <w:sz w:val="28"/>
              </w:rPr>
              <w:t xml:space="preserve">                           </w:t>
            </w:r>
            <w:r>
              <w:rPr>
                <w:rFonts w:hint="eastAsia" w:ascii="仿宋" w:hAnsi="仿宋" w:eastAsia="仿宋"/>
                <w:sz w:val="28"/>
              </w:rPr>
              <w:t>审稿、签发：谢海燕</w:t>
            </w:r>
          </w:p>
        </w:tc>
      </w:tr>
    </w:tbl>
    <w:p>
      <w:pPr>
        <w:ind w:firstLine="420"/>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 xml:space="preserve">                    </w:t>
      </w:r>
    </w:p>
    <w:p>
      <w:pPr>
        <w:keepNext w:val="0"/>
        <w:keepLines w:val="0"/>
        <w:widowControl/>
        <w:suppressLineNumbers w:val="0"/>
        <w:jc w:val="left"/>
        <w:rPr>
          <w:rFonts w:ascii="仿宋_GB2312" w:hAnsi="仿宋"/>
        </w:rPr>
      </w:pPr>
    </w:p>
    <w:sectPr>
      <w:footerReference r:id="rId6" w:type="first"/>
      <w:headerReference r:id="rId3" w:type="default"/>
      <w:footerReference r:id="rId4" w:type="default"/>
      <w:footerReference r:id="rId5" w:type="even"/>
      <w:pgSz w:w="11906" w:h="16838"/>
      <w:pgMar w:top="1134" w:right="1134" w:bottom="1134" w:left="1134" w:header="851" w:footer="1400" w:gutter="0"/>
      <w:cols w:space="425" w:num="1"/>
      <w:titlePg/>
      <w:docGrid w:type="linesAndChars" w:linePitch="57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B113E72A-5DDD-4B67-9EBA-A5A53E309ED2}"/>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auto"/>
    <w:pitch w:val="default"/>
    <w:sig w:usb0="00000001" w:usb1="080E0000" w:usb2="00000000" w:usb3="00000000" w:csb0="00040000" w:csb1="00000000"/>
    <w:embedRegular r:id="rId2" w:fontKey="{889FE9DE-E70E-48F1-9510-02DDD9181A9F}"/>
  </w:font>
  <w:font w:name="等线 Light">
    <w:panose1 w:val="02010600030101010101"/>
    <w:charset w:val="86"/>
    <w:family w:val="auto"/>
    <w:pitch w:val="default"/>
    <w:sig w:usb0="A00002BF" w:usb1="38CF7CFA" w:usb2="00000016" w:usb3="00000000" w:csb0="0004000F" w:csb1="00000000"/>
  </w:font>
  <w:font w:name="方正小标宋简体">
    <w:panose1 w:val="02000000000000000000"/>
    <w:charset w:val="86"/>
    <w:family w:val="script"/>
    <w:pitch w:val="default"/>
    <w:sig w:usb0="00000001" w:usb1="08000000" w:usb2="00000000" w:usb3="00000000" w:csb0="00040000" w:csb1="00000000"/>
    <w:embedRegular r:id="rId3" w:fontKey="{0EDE8819-42C1-4EA1-88B0-00DEEA259C0B}"/>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embedRegular r:id="rId4" w:fontKey="{E6635800-A035-480B-92B3-F57B71921BEF}"/>
  </w:font>
  <w:font w:name="仿宋">
    <w:panose1 w:val="02010609060101010101"/>
    <w:charset w:val="86"/>
    <w:family w:val="auto"/>
    <w:pitch w:val="default"/>
    <w:sig w:usb0="800002BF" w:usb1="38CF7CFA" w:usb2="00000016" w:usb3="00000000" w:csb0="00040001" w:csb1="00000000"/>
    <w:embedRegular r:id="rId5" w:fontKey="{C6004A3D-543C-4A1A-ACFE-2C536475DDE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rFonts w:ascii="宋体" w:hAnsi="宋体" w:eastAsia="宋体"/>
        <w:sz w:val="28"/>
      </w:rPr>
    </w:pPr>
    <w:r>
      <w:rPr>
        <w:rFonts w:ascii="宋体" w:hAnsi="宋体" w:eastAsia="宋体"/>
        <w:sz w:val="28"/>
      </w:rPr>
      <w:t xml:space="preserve">— </w:t>
    </w:r>
    <w:r>
      <w:rPr>
        <w:rFonts w:ascii="宋体" w:hAnsi="宋体" w:eastAsia="宋体"/>
        <w:sz w:val="28"/>
      </w:rPr>
      <w:fldChar w:fldCharType="begin"/>
    </w:r>
    <w:r>
      <w:rPr>
        <w:rFonts w:ascii="宋体" w:hAnsi="宋体" w:eastAsia="宋体"/>
        <w:sz w:val="28"/>
      </w:rPr>
      <w:instrText xml:space="preserve"> PAGE \* Arabic \* MERGEFORMAT </w:instrText>
    </w:r>
    <w:r>
      <w:rPr>
        <w:rFonts w:ascii="宋体" w:hAnsi="宋体" w:eastAsia="宋体"/>
        <w:sz w:val="28"/>
      </w:rPr>
      <w:fldChar w:fldCharType="separate"/>
    </w:r>
    <w:r>
      <w:rPr>
        <w:rFonts w:ascii="宋体" w:hAnsi="宋体" w:eastAsia="宋体"/>
        <w:sz w:val="28"/>
      </w:rPr>
      <w:t>5</w:t>
    </w:r>
    <w:r>
      <w:rPr>
        <w:rFonts w:ascii="宋体" w:hAnsi="宋体" w:eastAsia="宋体"/>
        <w:sz w:val="28"/>
      </w:rPr>
      <w:fldChar w:fldCharType="end"/>
    </w:r>
    <w:r>
      <w:rPr>
        <w:rFonts w:ascii="宋体" w:hAnsi="宋体" w:eastAsia="宋体"/>
        <w:sz w:val="28"/>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rFonts w:ascii="宋体" w:hAnsi="宋体" w:eastAsia="宋体"/>
        <w:sz w:val="28"/>
      </w:rPr>
    </w:pPr>
    <w:r>
      <w:rPr>
        <w:rFonts w:ascii="宋体" w:hAnsi="宋体" w:eastAsia="宋体"/>
        <w:sz w:val="28"/>
      </w:rPr>
      <w:t xml:space="preserve">— </w:t>
    </w:r>
    <w:r>
      <w:rPr>
        <w:rFonts w:ascii="宋体" w:hAnsi="宋体" w:eastAsia="宋体"/>
        <w:sz w:val="28"/>
      </w:rPr>
      <w:fldChar w:fldCharType="begin"/>
    </w:r>
    <w:r>
      <w:rPr>
        <w:rFonts w:ascii="宋体" w:hAnsi="宋体" w:eastAsia="宋体"/>
        <w:sz w:val="28"/>
      </w:rPr>
      <w:instrText xml:space="preserve"> PAGE \* Arabic \* MERGEFORMAT </w:instrText>
    </w:r>
    <w:r>
      <w:rPr>
        <w:rFonts w:ascii="宋体" w:hAnsi="宋体" w:eastAsia="宋体"/>
        <w:sz w:val="28"/>
      </w:rPr>
      <w:fldChar w:fldCharType="separate"/>
    </w:r>
    <w:r>
      <w:rPr>
        <w:rFonts w:ascii="宋体" w:hAnsi="宋体" w:eastAsia="宋体"/>
        <w:sz w:val="28"/>
      </w:rPr>
      <w:t>1</w:t>
    </w:r>
    <w:r>
      <w:rPr>
        <w:rFonts w:ascii="宋体" w:hAnsi="宋体" w:eastAsia="宋体"/>
        <w:sz w:val="28"/>
      </w:rPr>
      <w:fldChar w:fldCharType="end"/>
    </w:r>
    <w:r>
      <w:rPr>
        <w:rFonts w:ascii="宋体" w:hAnsi="宋体" w:eastAsia="宋体"/>
        <w:sz w:val="28"/>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3210920"/>
    <w:multiLevelType w:val="multilevel"/>
    <w:tmpl w:val="13210920"/>
    <w:lvl w:ilvl="0" w:tentative="0">
      <w:start w:val="1"/>
      <w:numFmt w:val="decimal"/>
      <w:pStyle w:val="21"/>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attachedTemplate r:id="rId1"/>
  <w:documentProtection w:enforcement="0"/>
  <w:defaultTabStop w:val="420"/>
  <w:drawingGridHorizontalSpacing w:val="158"/>
  <w:drawingGridVerticalSpacing w:val="57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kwNDVhODAzOGZkZDMzOWFmMzM4ODBjNmViMjZkODAifQ=="/>
  </w:docVars>
  <w:rsids>
    <w:rsidRoot w:val="00575A55"/>
    <w:rsid w:val="00016CFE"/>
    <w:rsid w:val="000533B3"/>
    <w:rsid w:val="00094CC0"/>
    <w:rsid w:val="00096CBA"/>
    <w:rsid w:val="000A4714"/>
    <w:rsid w:val="000B41F3"/>
    <w:rsid w:val="000D3DF5"/>
    <w:rsid w:val="000D7BF6"/>
    <w:rsid w:val="000E473A"/>
    <w:rsid w:val="00102096"/>
    <w:rsid w:val="00103346"/>
    <w:rsid w:val="00103C89"/>
    <w:rsid w:val="00112EFC"/>
    <w:rsid w:val="00127C07"/>
    <w:rsid w:val="00146862"/>
    <w:rsid w:val="001515F9"/>
    <w:rsid w:val="001617C7"/>
    <w:rsid w:val="0016663C"/>
    <w:rsid w:val="00177C36"/>
    <w:rsid w:val="0019010F"/>
    <w:rsid w:val="001A2CEC"/>
    <w:rsid w:val="001A4FE2"/>
    <w:rsid w:val="001A53CA"/>
    <w:rsid w:val="001D6CFC"/>
    <w:rsid w:val="00200606"/>
    <w:rsid w:val="00212781"/>
    <w:rsid w:val="00215F69"/>
    <w:rsid w:val="002334E1"/>
    <w:rsid w:val="002557E1"/>
    <w:rsid w:val="00261C18"/>
    <w:rsid w:val="00263CE2"/>
    <w:rsid w:val="002C1A6D"/>
    <w:rsid w:val="002E6FA6"/>
    <w:rsid w:val="002F6FFD"/>
    <w:rsid w:val="00303791"/>
    <w:rsid w:val="0033728C"/>
    <w:rsid w:val="00353113"/>
    <w:rsid w:val="0037132A"/>
    <w:rsid w:val="00386EB7"/>
    <w:rsid w:val="00390F8A"/>
    <w:rsid w:val="00391C98"/>
    <w:rsid w:val="003B0999"/>
    <w:rsid w:val="003C7AAF"/>
    <w:rsid w:val="004039A0"/>
    <w:rsid w:val="00427AB6"/>
    <w:rsid w:val="00433D38"/>
    <w:rsid w:val="004357BD"/>
    <w:rsid w:val="00452E37"/>
    <w:rsid w:val="004561BB"/>
    <w:rsid w:val="00472037"/>
    <w:rsid w:val="0047435F"/>
    <w:rsid w:val="00493E24"/>
    <w:rsid w:val="00494F27"/>
    <w:rsid w:val="004E76EE"/>
    <w:rsid w:val="004F2A39"/>
    <w:rsid w:val="0056753B"/>
    <w:rsid w:val="00575A55"/>
    <w:rsid w:val="005863E4"/>
    <w:rsid w:val="005B742A"/>
    <w:rsid w:val="005C0D1D"/>
    <w:rsid w:val="005C2C3E"/>
    <w:rsid w:val="005E0C6D"/>
    <w:rsid w:val="00624AC6"/>
    <w:rsid w:val="00625EAD"/>
    <w:rsid w:val="00661613"/>
    <w:rsid w:val="00663C66"/>
    <w:rsid w:val="006A0617"/>
    <w:rsid w:val="006B161F"/>
    <w:rsid w:val="006C7CE8"/>
    <w:rsid w:val="006D3CD1"/>
    <w:rsid w:val="006F77C1"/>
    <w:rsid w:val="00705061"/>
    <w:rsid w:val="00715599"/>
    <w:rsid w:val="007247B2"/>
    <w:rsid w:val="00745908"/>
    <w:rsid w:val="0074639D"/>
    <w:rsid w:val="00787806"/>
    <w:rsid w:val="00790ECF"/>
    <w:rsid w:val="007A1D7C"/>
    <w:rsid w:val="007A2900"/>
    <w:rsid w:val="007A2C49"/>
    <w:rsid w:val="007B7263"/>
    <w:rsid w:val="008062B6"/>
    <w:rsid w:val="0082002E"/>
    <w:rsid w:val="008325D1"/>
    <w:rsid w:val="00887E96"/>
    <w:rsid w:val="008D038E"/>
    <w:rsid w:val="008E231E"/>
    <w:rsid w:val="008E61B2"/>
    <w:rsid w:val="00917846"/>
    <w:rsid w:val="00926454"/>
    <w:rsid w:val="00935756"/>
    <w:rsid w:val="009737E2"/>
    <w:rsid w:val="00997EC8"/>
    <w:rsid w:val="009A49FB"/>
    <w:rsid w:val="009B1D94"/>
    <w:rsid w:val="009C63A1"/>
    <w:rsid w:val="009F08F2"/>
    <w:rsid w:val="00A40D90"/>
    <w:rsid w:val="00A42151"/>
    <w:rsid w:val="00A61432"/>
    <w:rsid w:val="00A72806"/>
    <w:rsid w:val="00A86AE6"/>
    <w:rsid w:val="00A96B4B"/>
    <w:rsid w:val="00AA56A6"/>
    <w:rsid w:val="00AC00C8"/>
    <w:rsid w:val="00AC371B"/>
    <w:rsid w:val="00AD7973"/>
    <w:rsid w:val="00B007A1"/>
    <w:rsid w:val="00B10ECC"/>
    <w:rsid w:val="00B222B9"/>
    <w:rsid w:val="00B3525D"/>
    <w:rsid w:val="00B43F63"/>
    <w:rsid w:val="00B469A3"/>
    <w:rsid w:val="00B57D90"/>
    <w:rsid w:val="00B82870"/>
    <w:rsid w:val="00BA20B8"/>
    <w:rsid w:val="00BC5BAE"/>
    <w:rsid w:val="00BE7E8B"/>
    <w:rsid w:val="00BF6687"/>
    <w:rsid w:val="00C17950"/>
    <w:rsid w:val="00C27073"/>
    <w:rsid w:val="00C453E6"/>
    <w:rsid w:val="00C84D30"/>
    <w:rsid w:val="00C97B63"/>
    <w:rsid w:val="00CA38DD"/>
    <w:rsid w:val="00CD0EC7"/>
    <w:rsid w:val="00CE66E7"/>
    <w:rsid w:val="00D0053D"/>
    <w:rsid w:val="00D05C04"/>
    <w:rsid w:val="00D1649D"/>
    <w:rsid w:val="00D249E8"/>
    <w:rsid w:val="00D44D87"/>
    <w:rsid w:val="00D56F5D"/>
    <w:rsid w:val="00D7025F"/>
    <w:rsid w:val="00D811A2"/>
    <w:rsid w:val="00D85273"/>
    <w:rsid w:val="00D85312"/>
    <w:rsid w:val="00D939B9"/>
    <w:rsid w:val="00DB7186"/>
    <w:rsid w:val="00E222EF"/>
    <w:rsid w:val="00E258E2"/>
    <w:rsid w:val="00E415C7"/>
    <w:rsid w:val="00E66CE9"/>
    <w:rsid w:val="00E729E0"/>
    <w:rsid w:val="00E73F25"/>
    <w:rsid w:val="00ED1189"/>
    <w:rsid w:val="00ED548B"/>
    <w:rsid w:val="00ED5AFC"/>
    <w:rsid w:val="00ED7A31"/>
    <w:rsid w:val="00EF74EE"/>
    <w:rsid w:val="00F07EBA"/>
    <w:rsid w:val="00F267BA"/>
    <w:rsid w:val="00F30C16"/>
    <w:rsid w:val="00F70462"/>
    <w:rsid w:val="00F70508"/>
    <w:rsid w:val="00FA5F18"/>
    <w:rsid w:val="00FC2045"/>
    <w:rsid w:val="011F7D31"/>
    <w:rsid w:val="023870D5"/>
    <w:rsid w:val="02B7449E"/>
    <w:rsid w:val="035C6DF3"/>
    <w:rsid w:val="03BE185C"/>
    <w:rsid w:val="04261CA2"/>
    <w:rsid w:val="04DC32B9"/>
    <w:rsid w:val="0566505E"/>
    <w:rsid w:val="05B04B44"/>
    <w:rsid w:val="06776E05"/>
    <w:rsid w:val="07344186"/>
    <w:rsid w:val="07CC4133"/>
    <w:rsid w:val="08346591"/>
    <w:rsid w:val="089748F5"/>
    <w:rsid w:val="08D86F1C"/>
    <w:rsid w:val="090C4E18"/>
    <w:rsid w:val="09867169"/>
    <w:rsid w:val="0A3250CE"/>
    <w:rsid w:val="0B2428ED"/>
    <w:rsid w:val="0B323487"/>
    <w:rsid w:val="0B3B5838"/>
    <w:rsid w:val="0B5A0591"/>
    <w:rsid w:val="0CBF0B1F"/>
    <w:rsid w:val="0D162709"/>
    <w:rsid w:val="0EA209A5"/>
    <w:rsid w:val="108A36CD"/>
    <w:rsid w:val="12081ECD"/>
    <w:rsid w:val="126D6927"/>
    <w:rsid w:val="127C4DBC"/>
    <w:rsid w:val="12B24C82"/>
    <w:rsid w:val="12DD1CFF"/>
    <w:rsid w:val="130354DD"/>
    <w:rsid w:val="13581385"/>
    <w:rsid w:val="1384217A"/>
    <w:rsid w:val="139000FB"/>
    <w:rsid w:val="13CC58CF"/>
    <w:rsid w:val="140137CB"/>
    <w:rsid w:val="140B7FCF"/>
    <w:rsid w:val="14A81E98"/>
    <w:rsid w:val="14B2315D"/>
    <w:rsid w:val="14DF6E21"/>
    <w:rsid w:val="15557785"/>
    <w:rsid w:val="17253C74"/>
    <w:rsid w:val="176E4207"/>
    <w:rsid w:val="1869193F"/>
    <w:rsid w:val="188608DF"/>
    <w:rsid w:val="18F03E0E"/>
    <w:rsid w:val="191B4799"/>
    <w:rsid w:val="1942190E"/>
    <w:rsid w:val="19AA1044"/>
    <w:rsid w:val="19FE1BFF"/>
    <w:rsid w:val="1A0F193E"/>
    <w:rsid w:val="1A1525C0"/>
    <w:rsid w:val="1A1A55E6"/>
    <w:rsid w:val="1A293E1F"/>
    <w:rsid w:val="1A5D1977"/>
    <w:rsid w:val="1AB6581D"/>
    <w:rsid w:val="1ADD3548"/>
    <w:rsid w:val="1B8013F7"/>
    <w:rsid w:val="1BF24A71"/>
    <w:rsid w:val="1CFE6131"/>
    <w:rsid w:val="1D3249F5"/>
    <w:rsid w:val="1D5205C3"/>
    <w:rsid w:val="1D646B79"/>
    <w:rsid w:val="1DD84C43"/>
    <w:rsid w:val="1E77312D"/>
    <w:rsid w:val="1EA336D1"/>
    <w:rsid w:val="212F1417"/>
    <w:rsid w:val="21645399"/>
    <w:rsid w:val="21E12E8E"/>
    <w:rsid w:val="22370D00"/>
    <w:rsid w:val="22BE32DC"/>
    <w:rsid w:val="23356FED"/>
    <w:rsid w:val="243C2EA6"/>
    <w:rsid w:val="25180974"/>
    <w:rsid w:val="25390F87"/>
    <w:rsid w:val="25450F78"/>
    <w:rsid w:val="263A2DD1"/>
    <w:rsid w:val="27A961FC"/>
    <w:rsid w:val="29A42D30"/>
    <w:rsid w:val="2A106E07"/>
    <w:rsid w:val="2BCA4992"/>
    <w:rsid w:val="2C1F0FAA"/>
    <w:rsid w:val="2C336597"/>
    <w:rsid w:val="2C70026F"/>
    <w:rsid w:val="2CA840AA"/>
    <w:rsid w:val="2D8F7C42"/>
    <w:rsid w:val="2DDD275B"/>
    <w:rsid w:val="2DE51610"/>
    <w:rsid w:val="2E7973D4"/>
    <w:rsid w:val="2FF7387C"/>
    <w:rsid w:val="30B70672"/>
    <w:rsid w:val="30EB4FAF"/>
    <w:rsid w:val="318657D8"/>
    <w:rsid w:val="32151875"/>
    <w:rsid w:val="33864868"/>
    <w:rsid w:val="33977850"/>
    <w:rsid w:val="343F0737"/>
    <w:rsid w:val="3542559A"/>
    <w:rsid w:val="355970DC"/>
    <w:rsid w:val="364315C9"/>
    <w:rsid w:val="364967FD"/>
    <w:rsid w:val="369926A3"/>
    <w:rsid w:val="37635FEA"/>
    <w:rsid w:val="37ED7275"/>
    <w:rsid w:val="38620F9F"/>
    <w:rsid w:val="38CD79D9"/>
    <w:rsid w:val="39142C1B"/>
    <w:rsid w:val="39423DBA"/>
    <w:rsid w:val="3986639D"/>
    <w:rsid w:val="3AB576F6"/>
    <w:rsid w:val="3B486B67"/>
    <w:rsid w:val="3C487931"/>
    <w:rsid w:val="3C9506A5"/>
    <w:rsid w:val="3CB35745"/>
    <w:rsid w:val="3D795057"/>
    <w:rsid w:val="3DBA3967"/>
    <w:rsid w:val="3E506F79"/>
    <w:rsid w:val="3E906BC2"/>
    <w:rsid w:val="3FE75E59"/>
    <w:rsid w:val="4006454A"/>
    <w:rsid w:val="40273D0A"/>
    <w:rsid w:val="40D935D6"/>
    <w:rsid w:val="41BB37AC"/>
    <w:rsid w:val="42DE27C9"/>
    <w:rsid w:val="43A01E09"/>
    <w:rsid w:val="43E837B0"/>
    <w:rsid w:val="44D53D34"/>
    <w:rsid w:val="45246A6A"/>
    <w:rsid w:val="457A1459"/>
    <w:rsid w:val="45F41CDF"/>
    <w:rsid w:val="46277566"/>
    <w:rsid w:val="462A4BDC"/>
    <w:rsid w:val="46402D7B"/>
    <w:rsid w:val="46AC3A1F"/>
    <w:rsid w:val="46D36999"/>
    <w:rsid w:val="46DA7D28"/>
    <w:rsid w:val="471D19C3"/>
    <w:rsid w:val="47380327"/>
    <w:rsid w:val="47811D49"/>
    <w:rsid w:val="47B916EB"/>
    <w:rsid w:val="48F21359"/>
    <w:rsid w:val="49575660"/>
    <w:rsid w:val="498C14B7"/>
    <w:rsid w:val="49C07D0F"/>
    <w:rsid w:val="49CE5C6B"/>
    <w:rsid w:val="4A5971B6"/>
    <w:rsid w:val="4A9F5CD9"/>
    <w:rsid w:val="4AD93E52"/>
    <w:rsid w:val="4BB95851"/>
    <w:rsid w:val="4C0851C2"/>
    <w:rsid w:val="4C962227"/>
    <w:rsid w:val="4CE12AA1"/>
    <w:rsid w:val="4CE55FD9"/>
    <w:rsid w:val="4D5D05D3"/>
    <w:rsid w:val="4DDA060D"/>
    <w:rsid w:val="4E9B0D26"/>
    <w:rsid w:val="4E9B7D9D"/>
    <w:rsid w:val="4F3D0E54"/>
    <w:rsid w:val="505B3C87"/>
    <w:rsid w:val="50BF7D99"/>
    <w:rsid w:val="519F1952"/>
    <w:rsid w:val="52466271"/>
    <w:rsid w:val="529A35BA"/>
    <w:rsid w:val="532540D9"/>
    <w:rsid w:val="53B118C3"/>
    <w:rsid w:val="53D8739D"/>
    <w:rsid w:val="542813F0"/>
    <w:rsid w:val="54D44008"/>
    <w:rsid w:val="54EF0E42"/>
    <w:rsid w:val="551268DF"/>
    <w:rsid w:val="55AA2FBB"/>
    <w:rsid w:val="56574EF1"/>
    <w:rsid w:val="568B4B9B"/>
    <w:rsid w:val="56F3629C"/>
    <w:rsid w:val="571238F0"/>
    <w:rsid w:val="57623B4D"/>
    <w:rsid w:val="581F559B"/>
    <w:rsid w:val="597638E0"/>
    <w:rsid w:val="59CC353B"/>
    <w:rsid w:val="59EE4F47"/>
    <w:rsid w:val="5A4B23B6"/>
    <w:rsid w:val="5ACA0A72"/>
    <w:rsid w:val="5B1F1D55"/>
    <w:rsid w:val="5B4F1C11"/>
    <w:rsid w:val="5C5477DD"/>
    <w:rsid w:val="5C5804DA"/>
    <w:rsid w:val="5C886B38"/>
    <w:rsid w:val="5CD21B3A"/>
    <w:rsid w:val="5D3A68F0"/>
    <w:rsid w:val="5D6B3945"/>
    <w:rsid w:val="5D9B1B67"/>
    <w:rsid w:val="5D9E1750"/>
    <w:rsid w:val="5E076966"/>
    <w:rsid w:val="5E155C33"/>
    <w:rsid w:val="5F2142EE"/>
    <w:rsid w:val="5FA84DC0"/>
    <w:rsid w:val="6051475F"/>
    <w:rsid w:val="609A52AA"/>
    <w:rsid w:val="610E43FE"/>
    <w:rsid w:val="61797423"/>
    <w:rsid w:val="62614A02"/>
    <w:rsid w:val="63636043"/>
    <w:rsid w:val="64570B78"/>
    <w:rsid w:val="648B78C1"/>
    <w:rsid w:val="64992394"/>
    <w:rsid w:val="64E5129E"/>
    <w:rsid w:val="65794282"/>
    <w:rsid w:val="657D7DA4"/>
    <w:rsid w:val="68126ECA"/>
    <w:rsid w:val="68762364"/>
    <w:rsid w:val="69650C0F"/>
    <w:rsid w:val="69733D60"/>
    <w:rsid w:val="69F30B6F"/>
    <w:rsid w:val="6A5C442C"/>
    <w:rsid w:val="6A7F6FBE"/>
    <w:rsid w:val="6D166D2C"/>
    <w:rsid w:val="6D97577B"/>
    <w:rsid w:val="6DDC2E65"/>
    <w:rsid w:val="6E31797E"/>
    <w:rsid w:val="6FF619FE"/>
    <w:rsid w:val="706E1558"/>
    <w:rsid w:val="70BA1EAD"/>
    <w:rsid w:val="72146479"/>
    <w:rsid w:val="72E342B5"/>
    <w:rsid w:val="76571F4C"/>
    <w:rsid w:val="768821FC"/>
    <w:rsid w:val="76A76D1B"/>
    <w:rsid w:val="77471356"/>
    <w:rsid w:val="77574EFD"/>
    <w:rsid w:val="786410BF"/>
    <w:rsid w:val="78CA30F6"/>
    <w:rsid w:val="7A634B26"/>
    <w:rsid w:val="7AE2562C"/>
    <w:rsid w:val="7C4A4A2F"/>
    <w:rsid w:val="7C99506C"/>
    <w:rsid w:val="7D02365B"/>
    <w:rsid w:val="7D335F94"/>
    <w:rsid w:val="7DA737B9"/>
    <w:rsid w:val="7E5356EF"/>
    <w:rsid w:val="7EF24F07"/>
    <w:rsid w:val="7F4F40D5"/>
    <w:rsid w:val="7F9601C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等线" w:hAnsi="等线" w:eastAsia="仿宋_GB2312" w:cs="Times New Roman"/>
      <w:kern w:val="2"/>
      <w:sz w:val="32"/>
      <w:szCs w:val="22"/>
      <w:lang w:val="en-US" w:eastAsia="zh-CN" w:bidi="ar-SA"/>
    </w:rPr>
  </w:style>
  <w:style w:type="paragraph" w:styleId="3">
    <w:name w:val="heading 1"/>
    <w:basedOn w:val="1"/>
    <w:next w:val="1"/>
    <w:link w:val="24"/>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25"/>
    <w:semiHidden/>
    <w:unhideWhenUsed/>
    <w:qFormat/>
    <w:uiPriority w:val="9"/>
    <w:pPr>
      <w:keepNext/>
      <w:keepLines/>
      <w:spacing w:before="260" w:after="260" w:line="416" w:lineRule="auto"/>
      <w:outlineLvl w:val="1"/>
    </w:pPr>
    <w:rPr>
      <w:rFonts w:ascii="等线 Light" w:hAnsi="等线 Light" w:eastAsia="等线 Light"/>
      <w:b/>
      <w:bCs/>
      <w:szCs w:val="32"/>
    </w:rPr>
  </w:style>
  <w:style w:type="paragraph" w:styleId="5">
    <w:name w:val="heading 3"/>
    <w:basedOn w:val="1"/>
    <w:next w:val="1"/>
    <w:link w:val="26"/>
    <w:semiHidden/>
    <w:unhideWhenUsed/>
    <w:qFormat/>
    <w:uiPriority w:val="9"/>
    <w:pPr>
      <w:keepNext/>
      <w:keepLines/>
      <w:spacing w:before="260" w:after="260" w:line="416" w:lineRule="auto"/>
      <w:outlineLvl w:val="2"/>
    </w:pPr>
    <w:rPr>
      <w:b/>
      <w:bCs/>
      <w:szCs w:val="32"/>
    </w:rPr>
  </w:style>
  <w:style w:type="character" w:default="1" w:styleId="12">
    <w:name w:val="Default Paragraph Font"/>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Body Text"/>
    <w:basedOn w:val="1"/>
    <w:semiHidden/>
    <w:qFormat/>
    <w:uiPriority w:val="99"/>
    <w:pPr>
      <w:spacing w:after="120"/>
    </w:pPr>
    <w:rPr>
      <w:sz w:val="30"/>
    </w:rPr>
  </w:style>
  <w:style w:type="paragraph" w:styleId="6">
    <w:name w:val="Balloon Text"/>
    <w:basedOn w:val="1"/>
    <w:link w:val="30"/>
    <w:semiHidden/>
    <w:unhideWhenUsed/>
    <w:qFormat/>
    <w:uiPriority w:val="99"/>
    <w:rPr>
      <w:sz w:val="18"/>
      <w:szCs w:val="18"/>
    </w:rPr>
  </w:style>
  <w:style w:type="paragraph" w:styleId="7">
    <w:name w:val="footer"/>
    <w:basedOn w:val="1"/>
    <w:link w:val="28"/>
    <w:unhideWhenUsed/>
    <w:qFormat/>
    <w:uiPriority w:val="99"/>
    <w:pPr>
      <w:tabs>
        <w:tab w:val="center" w:pos="4153"/>
        <w:tab w:val="right" w:pos="8306"/>
      </w:tabs>
      <w:snapToGrid w:val="0"/>
      <w:jc w:val="left"/>
    </w:pPr>
    <w:rPr>
      <w:sz w:val="18"/>
      <w:szCs w:val="18"/>
    </w:rPr>
  </w:style>
  <w:style w:type="paragraph" w:styleId="8">
    <w:name w:val="header"/>
    <w:basedOn w:val="1"/>
    <w:link w:val="27"/>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Normal (Web)"/>
    <w:basedOn w:val="1"/>
    <w:semiHidden/>
    <w:unhideWhenUsed/>
    <w:qFormat/>
    <w:uiPriority w:val="99"/>
    <w:rPr>
      <w:rFonts w:ascii="Times New Roman" w:hAnsi="Times New Roman"/>
      <w:sz w:val="24"/>
      <w:szCs w:val="24"/>
    </w:rPr>
  </w:style>
  <w:style w:type="table" w:styleId="11">
    <w:name w:val="Table Grid"/>
    <w:basedOn w:val="10"/>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
    <w:name w:val="公文"/>
    <w:basedOn w:val="5"/>
    <w:next w:val="5"/>
    <w:link w:val="14"/>
    <w:qFormat/>
    <w:uiPriority w:val="0"/>
    <w:pPr>
      <w:adjustRightInd w:val="0"/>
      <w:snapToGrid w:val="0"/>
      <w:spacing w:before="100" w:beforeAutospacing="1" w:after="100" w:afterAutospacing="1" w:line="560" w:lineRule="exact"/>
      <w:ind w:firstLine="200" w:firstLineChars="200"/>
      <w:jc w:val="left"/>
    </w:pPr>
    <w:rPr>
      <w:rFonts w:ascii="仿宋_GB2312"/>
    </w:rPr>
  </w:style>
  <w:style w:type="character" w:customStyle="1" w:styleId="14">
    <w:name w:val="公文 字符"/>
    <w:link w:val="13"/>
    <w:qFormat/>
    <w:uiPriority w:val="0"/>
    <w:rPr>
      <w:rFonts w:ascii="仿宋_GB2312" w:eastAsia="仿宋_GB2312"/>
      <w:b/>
      <w:bCs/>
      <w:sz w:val="32"/>
      <w:szCs w:val="32"/>
    </w:rPr>
  </w:style>
  <w:style w:type="paragraph" w:customStyle="1" w:styleId="15">
    <w:name w:val="一、标题"/>
    <w:basedOn w:val="1"/>
    <w:link w:val="16"/>
    <w:qFormat/>
    <w:uiPriority w:val="0"/>
    <w:pPr>
      <w:spacing w:line="560" w:lineRule="exact"/>
      <w:jc w:val="center"/>
    </w:pPr>
    <w:rPr>
      <w:rFonts w:ascii="方正小标宋简体" w:eastAsia="方正小标宋简体"/>
      <w:szCs w:val="32"/>
    </w:rPr>
  </w:style>
  <w:style w:type="character" w:customStyle="1" w:styleId="16">
    <w:name w:val="一、标题 字符"/>
    <w:link w:val="15"/>
    <w:qFormat/>
    <w:uiPriority w:val="0"/>
    <w:rPr>
      <w:rFonts w:ascii="方正小标宋简体" w:eastAsia="方正小标宋简体"/>
      <w:sz w:val="32"/>
      <w:szCs w:val="32"/>
    </w:rPr>
  </w:style>
  <w:style w:type="paragraph" w:customStyle="1" w:styleId="17">
    <w:name w:val="一、1号标题"/>
    <w:link w:val="18"/>
    <w:qFormat/>
    <w:uiPriority w:val="0"/>
    <w:pPr>
      <w:ind w:firstLine="567"/>
    </w:pPr>
    <w:rPr>
      <w:rFonts w:ascii="黑体" w:hAnsi="等线" w:eastAsia="黑体" w:cs="Times New Roman"/>
      <w:kern w:val="2"/>
      <w:sz w:val="32"/>
      <w:szCs w:val="36"/>
      <w:lang w:val="en-US" w:eastAsia="zh-CN" w:bidi="ar-SA"/>
    </w:rPr>
  </w:style>
  <w:style w:type="character" w:customStyle="1" w:styleId="18">
    <w:name w:val="一、1号标题 字符"/>
    <w:link w:val="17"/>
    <w:qFormat/>
    <w:uiPriority w:val="0"/>
    <w:rPr>
      <w:rFonts w:ascii="黑体" w:eastAsia="黑体"/>
      <w:sz w:val="32"/>
      <w:szCs w:val="36"/>
    </w:rPr>
  </w:style>
  <w:style w:type="paragraph" w:customStyle="1" w:styleId="19">
    <w:name w:val="（二）2号标题"/>
    <w:basedOn w:val="1"/>
    <w:link w:val="20"/>
    <w:qFormat/>
    <w:uiPriority w:val="0"/>
    <w:pPr>
      <w:adjustRightInd w:val="0"/>
      <w:snapToGrid w:val="0"/>
      <w:spacing w:line="560" w:lineRule="exact"/>
      <w:ind w:firstLine="200" w:firstLineChars="200"/>
      <w:jc w:val="left"/>
    </w:pPr>
    <w:rPr>
      <w:rFonts w:eastAsia="楷体_GB2312"/>
      <w:b/>
      <w:szCs w:val="24"/>
    </w:rPr>
  </w:style>
  <w:style w:type="character" w:customStyle="1" w:styleId="20">
    <w:name w:val="（二）2号标题 字符"/>
    <w:link w:val="19"/>
    <w:qFormat/>
    <w:uiPriority w:val="0"/>
    <w:rPr>
      <w:rFonts w:eastAsia="楷体_GB2312"/>
      <w:b/>
      <w:sz w:val="32"/>
      <w:szCs w:val="24"/>
    </w:rPr>
  </w:style>
  <w:style w:type="paragraph" w:customStyle="1" w:styleId="21">
    <w:name w:val="公文:2级标题"/>
    <w:basedOn w:val="22"/>
    <w:link w:val="23"/>
    <w:qFormat/>
    <w:uiPriority w:val="0"/>
    <w:pPr>
      <w:numPr>
        <w:ilvl w:val="0"/>
        <w:numId w:val="1"/>
      </w:numPr>
      <w:ind w:firstLine="0"/>
      <w:jc w:val="left"/>
    </w:pPr>
    <w:rPr>
      <w:rFonts w:ascii="方正小标宋简体" w:hAnsi="黑体" w:eastAsia="楷体"/>
      <w:b/>
    </w:rPr>
  </w:style>
  <w:style w:type="paragraph" w:styleId="22">
    <w:name w:val="List Paragraph"/>
    <w:basedOn w:val="1"/>
    <w:qFormat/>
    <w:uiPriority w:val="34"/>
    <w:pPr>
      <w:ind w:firstLine="420"/>
    </w:pPr>
  </w:style>
  <w:style w:type="character" w:customStyle="1" w:styleId="23">
    <w:name w:val="公文:2级标题 字符"/>
    <w:link w:val="21"/>
    <w:qFormat/>
    <w:uiPriority w:val="0"/>
    <w:rPr>
      <w:rFonts w:ascii="方正小标宋简体" w:hAnsi="黑体" w:eastAsia="楷体"/>
      <w:b/>
      <w:sz w:val="32"/>
    </w:rPr>
  </w:style>
  <w:style w:type="character" w:customStyle="1" w:styleId="24">
    <w:name w:val="标题 1 字符"/>
    <w:link w:val="3"/>
    <w:qFormat/>
    <w:uiPriority w:val="9"/>
    <w:rPr>
      <w:b/>
      <w:bCs/>
      <w:kern w:val="44"/>
      <w:sz w:val="44"/>
      <w:szCs w:val="44"/>
    </w:rPr>
  </w:style>
  <w:style w:type="character" w:customStyle="1" w:styleId="25">
    <w:name w:val="标题 2 字符"/>
    <w:link w:val="4"/>
    <w:semiHidden/>
    <w:qFormat/>
    <w:uiPriority w:val="9"/>
    <w:rPr>
      <w:rFonts w:ascii="等线 Light" w:hAnsi="等线 Light" w:eastAsia="等线 Light" w:cs="Times New Roman"/>
      <w:b/>
      <w:bCs/>
      <w:sz w:val="32"/>
      <w:szCs w:val="32"/>
    </w:rPr>
  </w:style>
  <w:style w:type="character" w:customStyle="1" w:styleId="26">
    <w:name w:val="标题 3 字符"/>
    <w:link w:val="5"/>
    <w:semiHidden/>
    <w:qFormat/>
    <w:uiPriority w:val="9"/>
    <w:rPr>
      <w:b/>
      <w:bCs/>
      <w:sz w:val="32"/>
      <w:szCs w:val="32"/>
    </w:rPr>
  </w:style>
  <w:style w:type="character" w:customStyle="1" w:styleId="27">
    <w:name w:val="页眉 字符"/>
    <w:link w:val="8"/>
    <w:qFormat/>
    <w:uiPriority w:val="99"/>
    <w:rPr>
      <w:sz w:val="18"/>
      <w:szCs w:val="18"/>
    </w:rPr>
  </w:style>
  <w:style w:type="character" w:customStyle="1" w:styleId="28">
    <w:name w:val="页脚 字符"/>
    <w:link w:val="7"/>
    <w:qFormat/>
    <w:uiPriority w:val="99"/>
    <w:rPr>
      <w:sz w:val="18"/>
      <w:szCs w:val="18"/>
    </w:rPr>
  </w:style>
  <w:style w:type="paragraph" w:customStyle="1" w:styleId="29">
    <w:name w:val="公文_发文机关标志"/>
    <w:basedOn w:val="1"/>
    <w:qFormat/>
    <w:uiPriority w:val="0"/>
    <w:pPr>
      <w:widowControl/>
      <w:jc w:val="center"/>
    </w:pPr>
    <w:rPr>
      <w:rFonts w:ascii="方正小标宋简体" w:hAnsi="Times New Roman" w:eastAsia="方正小标宋简体"/>
      <w:color w:val="FF0000"/>
      <w:sz w:val="72"/>
      <w:szCs w:val="72"/>
    </w:rPr>
  </w:style>
  <w:style w:type="character" w:customStyle="1" w:styleId="30">
    <w:name w:val="批注框文本 字符"/>
    <w:basedOn w:val="12"/>
    <w:link w:val="6"/>
    <w:semiHidden/>
    <w:qFormat/>
    <w:uiPriority w:val="99"/>
    <w:rPr>
      <w:rFonts w:ascii="等线" w:hAnsi="等线" w:eastAsia="仿宋_GB2312"/>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iobhan\Desktop\&#26032;&#24314;&#25991;&#20214;&#22841;%20(3)\&#22269;&#22521;&#35745;&#21010;&#31616;&#25253;&#27169;&#26495;.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国培计划简报模板</Template>
  <Pages>7</Pages>
  <Words>2166</Words>
  <Characters>2176</Characters>
  <Lines>12</Lines>
  <Paragraphs>3</Paragraphs>
  <TotalTime>15</TotalTime>
  <ScaleCrop>false</ScaleCrop>
  <LinksUpToDate>false</LinksUpToDate>
  <CharactersWithSpaces>2243</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2021-10-27T13:36:00Z</dcterms:created>
  <dc:creator>Alex</dc:creator>
  <cp:lastModifiedBy>海燕</cp:lastModifiedBy>
  <cp:lastPrinted>2021-10-28T04:02:00Z</cp:lastPrinted>
  <dcterms:modified xsi:type="dcterms:W3CDTF">2023-06-21T13:51:05Z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A03B9B51840A48A199A0D5ABBF537347</vt:lpwstr>
  </property>
</Properties>
</file>